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3F67C4" w:rsidRPr="003F67C4" w:rsidTr="00E45325">
        <w:tc>
          <w:tcPr>
            <w:tcW w:w="4976" w:type="dxa"/>
          </w:tcPr>
          <w:p w:rsidR="003F67C4" w:rsidRPr="003F67C4" w:rsidRDefault="003F67C4" w:rsidP="003F67C4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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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AA"/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sym w:font="B7BOS" w:char="F08A"/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</w:t>
            </w:r>
          </w:p>
          <w:p w:rsidR="003F67C4" w:rsidRPr="003F67C4" w:rsidRDefault="003F67C4" w:rsidP="003F67C4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AA"/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3F67C4">
              <w:rPr>
                <w:rFonts w:ascii="Arial Unicode MS" w:eastAsia="Arial Unicode MS" w:hAnsi="Arial Unicode MS" w:cs="Arial Unicode MS" w:hint="eastAsia"/>
                <w:b/>
                <w:lang w:eastAsia="ru-RU" w:bidi="he-IL"/>
              </w:rPr>
              <w:t>Ҙ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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</w:p>
          <w:p w:rsidR="003F67C4" w:rsidRPr="003F67C4" w:rsidRDefault="003F67C4" w:rsidP="003F67C4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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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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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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BD"/>
            </w:r>
          </w:p>
          <w:p w:rsidR="003F67C4" w:rsidRPr="003F67C4" w:rsidRDefault="003F67C4" w:rsidP="003F67C4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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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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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</w:p>
          <w:p w:rsidR="003F67C4" w:rsidRPr="003F67C4" w:rsidRDefault="003F67C4" w:rsidP="003F67C4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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C"/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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C"/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A"/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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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8C"/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lang w:eastAsia="ru-RU"/>
              </w:rPr>
              <w:t></w:t>
            </w:r>
          </w:p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3F67C4" w:rsidRPr="003F67C4" w:rsidRDefault="003F67C4" w:rsidP="003F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299" w:type="dxa"/>
          </w:tcPr>
          <w:p w:rsidR="003F67C4" w:rsidRPr="003F67C4" w:rsidRDefault="003F67C4" w:rsidP="003F67C4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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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3F67C4" w:rsidRPr="003F67C4" w:rsidRDefault="003F67C4" w:rsidP="003F67C4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3F67C4" w:rsidRPr="003F67C4" w:rsidRDefault="003F67C4" w:rsidP="003F67C4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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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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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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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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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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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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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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</w:p>
          <w:p w:rsidR="003F67C4" w:rsidRPr="003F67C4" w:rsidRDefault="003F67C4" w:rsidP="003F67C4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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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3F67C4" w:rsidRPr="003F67C4" w:rsidRDefault="003F67C4" w:rsidP="003F67C4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3F67C4" w:rsidRPr="003F67C4" w:rsidRDefault="003F67C4" w:rsidP="003F67C4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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3F67C4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</w:p>
          <w:p w:rsidR="003F67C4" w:rsidRPr="003F67C4" w:rsidRDefault="003F67C4" w:rsidP="003F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</w:tr>
      <w:tr w:rsidR="003F67C4" w:rsidRPr="003F67C4" w:rsidTr="00E45325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7C4" w:rsidRPr="003F67C4" w:rsidRDefault="003F67C4" w:rsidP="003F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  <w:p w:rsidR="003F67C4" w:rsidRPr="003F67C4" w:rsidRDefault="003F67C4" w:rsidP="003F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7C4" w:rsidRPr="003F67C4" w:rsidRDefault="003F67C4" w:rsidP="003F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7C4" w:rsidRPr="003F67C4" w:rsidRDefault="003F67C4" w:rsidP="003F67C4">
            <w:pPr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3F67C4" w:rsidRPr="003F67C4" w:rsidRDefault="003F67C4" w:rsidP="003F67C4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16"/>
          <w:szCs w:val="16"/>
          <w:lang w:eastAsia="ru-RU"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3F67C4" w:rsidRPr="003F67C4" w:rsidTr="00E45325">
        <w:tc>
          <w:tcPr>
            <w:tcW w:w="4088" w:type="dxa"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ym w:font="B7BOS" w:char="F0AA"/>
            </w:r>
            <w:r w:rsidRPr="003F67C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256" w:type="dxa"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7C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F67C4" w:rsidRPr="003F67C4" w:rsidTr="00E45325">
        <w:tc>
          <w:tcPr>
            <w:tcW w:w="4088" w:type="dxa"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 й.</w:t>
            </w:r>
          </w:p>
        </w:tc>
        <w:tc>
          <w:tcPr>
            <w:tcW w:w="1256" w:type="dxa"/>
          </w:tcPr>
          <w:p w:rsidR="003F67C4" w:rsidRPr="003F67C4" w:rsidRDefault="003F67C4" w:rsidP="003F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7C4" w:rsidRPr="003F67C4" w:rsidRDefault="003F67C4" w:rsidP="003F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_____    </w:t>
            </w:r>
          </w:p>
        </w:tc>
        <w:tc>
          <w:tcPr>
            <w:tcW w:w="4243" w:type="dxa"/>
          </w:tcPr>
          <w:p w:rsidR="003F67C4" w:rsidRPr="003F67C4" w:rsidRDefault="003F67C4" w:rsidP="003F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«____»______________20____ г.</w:t>
            </w:r>
          </w:p>
          <w:p w:rsidR="003F67C4" w:rsidRPr="003F67C4" w:rsidRDefault="003F67C4" w:rsidP="003F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7C4" w:rsidRPr="003F67C4" w:rsidRDefault="003F67C4" w:rsidP="003F67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p w:rsidR="003F67C4" w:rsidRPr="003F67C4" w:rsidRDefault="003F67C4" w:rsidP="003F67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  <w:r w:rsidRPr="003F67C4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ПРОЕКТ</w:t>
      </w:r>
    </w:p>
    <w:p w:rsidR="003F67C4" w:rsidRPr="003F67C4" w:rsidRDefault="003F67C4" w:rsidP="003F67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</w:p>
    <w:p w:rsidR="003F67C4" w:rsidRPr="003F67C4" w:rsidRDefault="003F67C4" w:rsidP="003F67C4">
      <w:pPr>
        <w:keepNext/>
        <w:spacing w:before="240" w:after="6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</w:t>
      </w:r>
      <w:r w:rsidRPr="003F67C4">
        <w:rPr>
          <w:rFonts w:ascii="Times New Roman" w:eastAsia="Times New Roman" w:hAnsi="Times New Roman" w:cs="Times New Roman"/>
          <w:bCs/>
          <w:iCs/>
          <w:spacing w:val="-14"/>
          <w:sz w:val="28"/>
          <w:szCs w:val="28"/>
          <w:lang w:eastAsia="ru-RU"/>
        </w:rPr>
        <w:t xml:space="preserve"> </w:t>
      </w:r>
      <w:r w:rsidRPr="003F67C4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утверждении</w:t>
      </w:r>
      <w:r w:rsidRPr="003F67C4"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  <w:lang w:eastAsia="ru-RU"/>
        </w:rPr>
        <w:t xml:space="preserve"> </w:t>
      </w:r>
      <w:proofErr w:type="gramStart"/>
      <w:r w:rsidRPr="003F67C4"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  <w:lang w:eastAsia="ru-RU"/>
        </w:rPr>
        <w:t>Порядка планирования приватизации муниципального имущества  администрации сельского поселения</w:t>
      </w:r>
      <w:proofErr w:type="gramEnd"/>
      <w:r w:rsidRPr="003F67C4"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  <w:lang w:eastAsia="ru-RU"/>
        </w:rPr>
        <w:t xml:space="preserve"> </w:t>
      </w:r>
      <w:proofErr w:type="spellStart"/>
      <w:r w:rsidRPr="003F67C4"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 </w:t>
      </w:r>
    </w:p>
    <w:p w:rsidR="003F67C4" w:rsidRPr="003F67C4" w:rsidRDefault="003F67C4" w:rsidP="003F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10 Федерального закона от 21.12.2001 года №178 –ФЗ «О приватизации государственного и муниципального имущества», руководствуясь </w:t>
      </w:r>
      <w:r w:rsidRPr="003F67C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ru-RU"/>
        </w:rPr>
        <w:t>Уставом</w:t>
      </w:r>
      <w:r w:rsidRPr="003F67C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 </w:t>
      </w:r>
      <w:r w:rsidRPr="003F67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Pr="003F67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Башкортостан,  </w:t>
      </w: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7C4" w:rsidRPr="003F67C4" w:rsidRDefault="003F67C4" w:rsidP="003F67C4">
      <w:pPr>
        <w:numPr>
          <w:ilvl w:val="0"/>
          <w:numId w:val="1"/>
        </w:numPr>
        <w:spacing w:after="120" w:line="240" w:lineRule="auto"/>
        <w:ind w:right="1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Pr="003F67C4">
        <w:rPr>
          <w:rFonts w:ascii="Times New Roman" w:eastAsia="Calibri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планирования приватизации муниципального имущества администрации сельского поселения</w:t>
      </w:r>
      <w:proofErr w:type="gram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Башкортостан, согласно приложению. </w:t>
      </w:r>
    </w:p>
    <w:p w:rsidR="003F67C4" w:rsidRPr="003F67C4" w:rsidRDefault="003F67C4" w:rsidP="003F67C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по адресу: 452363, Республика Башкортостан, Караидельский район, </w:t>
      </w:r>
      <w:proofErr w:type="spell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вгильдино</w:t>
      </w:r>
      <w:proofErr w:type="spellEnd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Халимуллина</w:t>
      </w:r>
      <w:proofErr w:type="spellEnd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Санира</w:t>
      </w:r>
      <w:proofErr w:type="spellEnd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30, и разместить в сети общего доступа «Интернет» </w:t>
      </w:r>
      <w:r w:rsidRPr="003F6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hyperlink r:id="rId7" w:history="1">
        <w:r w:rsidRPr="003F6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F6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F6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yavgildino</w:t>
        </w:r>
        <w:proofErr w:type="spellEnd"/>
        <w:r w:rsidRPr="003F6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F6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F67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C4" w:rsidRPr="003F67C4" w:rsidRDefault="003F67C4" w:rsidP="003F67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сельского поселения                                                      </w:t>
      </w:r>
      <w:proofErr w:type="spell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Ф.М.Илалов</w:t>
      </w:r>
      <w:proofErr w:type="spellEnd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F67C4" w:rsidRPr="003F67C4" w:rsidRDefault="003F67C4" w:rsidP="003F67C4">
      <w:pPr>
        <w:tabs>
          <w:tab w:val="left" w:pos="9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 w:rsidRPr="003F67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</w:t>
      </w:r>
      <w:proofErr w:type="spellEnd"/>
      <w:r w:rsidRPr="003F6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F67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Каюмова</w:t>
      </w:r>
      <w:proofErr w:type="spellEnd"/>
      <w:r w:rsidRPr="003F6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</w:t>
      </w:r>
    </w:p>
    <w:p w:rsidR="003F67C4" w:rsidRPr="003F67C4" w:rsidRDefault="003F67C4" w:rsidP="003F67C4">
      <w:pPr>
        <w:tabs>
          <w:tab w:val="left" w:pos="9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(34744)2-77-36</w:t>
      </w:r>
    </w:p>
    <w:p w:rsidR="003F67C4" w:rsidRPr="003F67C4" w:rsidRDefault="003F67C4" w:rsidP="003F67C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67C4" w:rsidRPr="003F67C4" w:rsidRDefault="003F67C4" w:rsidP="003F67C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Явгильдинский</w:t>
      </w:r>
      <w:proofErr w:type="spell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3F67C4" w:rsidRPr="003F67C4" w:rsidRDefault="003F67C4" w:rsidP="003F67C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F67C4" w:rsidRPr="003F67C4" w:rsidRDefault="003F67C4" w:rsidP="003F67C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Караидельский район</w:t>
      </w:r>
    </w:p>
    <w:p w:rsidR="003F67C4" w:rsidRPr="003F67C4" w:rsidRDefault="003F67C4" w:rsidP="003F67C4">
      <w:pPr>
        <w:suppressAutoHyphens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F67C4" w:rsidRPr="003F67C4" w:rsidRDefault="003F67C4" w:rsidP="003F67C4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____________ 2019 года № ______</w:t>
      </w:r>
    </w:p>
    <w:p w:rsidR="003F67C4" w:rsidRPr="003F67C4" w:rsidRDefault="003F67C4" w:rsidP="003F67C4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pacing w:after="120" w:line="240" w:lineRule="auto"/>
        <w:ind w:left="175" w:right="1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Порядок                                                                                                                                        </w:t>
      </w:r>
      <w:proofErr w:type="gramStart"/>
      <w:r w:rsidRPr="003F67C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планирования приватизации муниципального имущества администрации сельского поселения</w:t>
      </w:r>
      <w:proofErr w:type="gramEnd"/>
      <w:r w:rsidRPr="003F67C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3F67C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</w:t>
      </w:r>
    </w:p>
    <w:p w:rsidR="003F67C4" w:rsidRPr="003F67C4" w:rsidRDefault="003F67C4" w:rsidP="003F67C4">
      <w:pPr>
        <w:tabs>
          <w:tab w:val="left" w:pos="-720"/>
        </w:tabs>
        <w:spacing w:after="120" w:line="240" w:lineRule="auto"/>
        <w:ind w:right="112" w:hanging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1. Настоящий Порядок устанавливает механизм </w:t>
      </w:r>
      <w:proofErr w:type="gram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планирования приватизации муниципального имущества администрации сельского поселения</w:t>
      </w:r>
      <w:proofErr w:type="gram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 (далее муниципальное имущество) в соответствующем финансовом году.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Планирование приватизации муниципального имущества, в том числе разработка прогнозного плана, осуществляется администрацией сельского поселения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 (далее - Администрацией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сельсовет), осуществляющей управление и распоряжение муниципальной собственностью, в соответствии со следующими принципами: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- свободы собственника при планировании приватизации муниципального имущества;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открытости деятельности Администрации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при планировании приватизации муниципального имущества;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социально-экономической обоснованности приватизации муниципального имущества;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сохранения муниципального имущества, необходимого для реализации установленных действующим законодательством полномочий Администрации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сельсовет,  а также для обеспечения ее деятельности и деятельности муниципальных служащих;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Планирование приватизации муниципального имущества осуществляется исходя из необходимости выполнения задач, определенных программой социально-экономического развития сельского поселения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сельсовет; 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4. Планирование приватизации муниципального имущества осуществляется путем подготовки прогнозного плана;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5. Прогнозный план представляется в форме таблицы. Прогнозный план содержит разделы, прогнозируемые суммы доходов, связанные с приватизацией, предполагаемые сроки приватизации. Указанные данные устанавливаются по каждому из приватизируемых объектов;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 Структура Прогнозного плана состоит из следующих разделов: 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нежилые здания, помещения, состоящие на учете в казне сельского поселения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акции (доли) сельского поселения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муниципальные унитарные предприятия;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- иное имущество.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7. Первый и четвертый разделы содержат перечень муниципального имущества, по каждому из которых указывается характеристика (год постройки, балансовая стоимость объекта, местонахождение, кадастровый номер земельного участка, назначение, правоустанавливающие документы, наличие обременения).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Перечень планируемых к приватизации муниципальных унитарных предприятий (далее – предприятия) должен содержать: наименование, местонахождение, основной вид деятельности, среднесписочную численность работников на конец года, предшествующего году разработки прогнозного плана, и балансовую стоимость основных средств на ту же дату. 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9. Перечень хозяйственных обществ, акции (доли) в уставных капиталах которых находятся в муниципальной собственности и планируются к приватизации, должен содержать: наименование, местонахождение, основной вид деятельности, величину уставного капитала, номинальную стоимость акций (доли), количество планируемых к приватизации акций (размер долей).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Структурные подразделения Администрации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сельсовет, осуществляющие координацию и регулирование деятельности в соответствующих отраслях экономики, не </w:t>
      </w:r>
      <w:proofErr w:type="gram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семь месяцев до начала очередного финансового года направляют в Администрацию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предложения и социально-экономическое обоснование по: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приватизации подведомственных отраслевым (функциональным) органам администрации, структурным подразделениям Администрации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предприятий, а также по установлению обременений в отношении приватизируемого в составе имущественных комплексов предприятий имущества;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приватизации объектов недвижимого и движимого муниципального имущества, включая находящиеся в муниципальной собственности акции (доли в уставных капиталах) хозяйственных обществ, а также по установлению обременений в отношении приватизируемого муниципального имущества Администрации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сохранению в муниципальной собственности акций (долей в уставных капиталах) хозяйственных обществ, акционером (участником) которым является Администрация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сельсовет;  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сохранению в муниципальной собственности отдельных объектов, включая объекты недвижимости и земельные участки, не подлежащие приватизации в составе имущественных комплексов предприятий;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11. Предложения, указанные в пункте 10 настоящего Порядка, должны содержать следующую информацию: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- адрес объекта, общая площадь, назначение имущества, сведения  о государственной регистрации права собственности – в отношении недвижимого имущества;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- вид имущества, назначение имущества, иные индивидуализирующие имущество характеристики - в отношении движимого имущества;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наименование и местонахождение хозяйственного общества, количество принадлежащих сельскому поселению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акций (размер долей в уставном капитале) хозяйственного общества, планируемых к приватизации – в отношении хозяйственных обществ, акции (доли в уставном капитале) которых находятся в муниципальной собственности;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наименование, местонахождение, балансовая стоимость основных средств, среднесписочная численность работников – в отношении предприятий. 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Предприятия, открытые акционерные общества, акции которых находятся в муниципальной собственности, иные юридические лица и граждане вправе направить в Администрацию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свои предложения о приватизации муниципального имущества в очередном финансовом году.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Администрация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в срок не позднее октября текущего финансового года на основании поступивших предложений  разрабатывает проект прогнозного плана на очередной финансовый год.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Проект прогнозного плана представляется Администрацией СП </w:t>
      </w:r>
      <w:proofErr w:type="spellStart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Явгильдинский</w:t>
      </w:r>
      <w:proofErr w:type="spellEnd"/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на утверждение в срок не позднее 10 октября текущего финансового года.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15. В прогнозный план могут вноситься изменения и дополнения.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и дополнения в прогнозный план вносятся и утверждаются в том же порядке, что и при разработке прогнозного плана. 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16. Объекты, включенные в прогнозный план (программу) приватизации имущества сельского поселения, но не приватизированные в истекшем году, считаются перенесенными в прогнозные планы (программы) на текущий год.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18. Программа приватизации и отчет о выполнении Программы приватизации за прошедший год подлежит опубликованию в установленном порядке и размещению на официальном сайте.</w:t>
      </w:r>
    </w:p>
    <w:p w:rsidR="003F67C4" w:rsidRPr="003F67C4" w:rsidRDefault="003F67C4" w:rsidP="003F67C4">
      <w:pPr>
        <w:tabs>
          <w:tab w:val="left" w:pos="142"/>
        </w:tabs>
        <w:spacing w:before="1" w:after="12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Calibri" w:hAnsi="Times New Roman" w:cs="Times New Roman"/>
          <w:sz w:val="28"/>
          <w:szCs w:val="28"/>
          <w:lang w:eastAsia="ru-RU"/>
        </w:rPr>
        <w:t>19. Решение об условиях приватизации муниципального имущества размещается в открытом доступе сети в течение десяти дней со дня принятия решения.</w:t>
      </w:r>
    </w:p>
    <w:p w:rsidR="003F67C4" w:rsidRPr="003F67C4" w:rsidRDefault="003F67C4" w:rsidP="003F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F67C4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429B8" w:rsidRDefault="004429B8">
      <w:bookmarkStart w:id="0" w:name="_GoBack"/>
      <w:bookmarkEnd w:id="0"/>
    </w:p>
    <w:sectPr w:rsidR="004429B8" w:rsidSect="00A4736E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1768"/>
    <w:multiLevelType w:val="hybridMultilevel"/>
    <w:tmpl w:val="4CC8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4"/>
    <w:rsid w:val="003F67C4"/>
    <w:rsid w:val="004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2019-06-25T10:39:00Z</dcterms:created>
  <dcterms:modified xsi:type="dcterms:W3CDTF">2019-06-25T10:40:00Z</dcterms:modified>
</cp:coreProperties>
</file>